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46" w:rsidRPr="009D2F46" w:rsidRDefault="009D2F46" w:rsidP="009D2F46">
      <w:pPr>
        <w:jc w:val="both"/>
        <w:rPr>
          <w:b/>
        </w:rPr>
      </w:pPr>
      <w:r w:rsidRPr="009D2F46">
        <w:rPr>
          <w:rFonts w:hint="eastAsia"/>
          <w:b/>
        </w:rPr>
        <w:t>無權占有他人土地與相當於租金之不當得利</w:t>
      </w:r>
      <w:proofErr w:type="gramStart"/>
      <w:r w:rsidRPr="009D2F46">
        <w:rPr>
          <w:rFonts w:hint="eastAsia"/>
          <w:b/>
        </w:rPr>
        <w:t>——</w:t>
      </w:r>
      <w:proofErr w:type="gramEnd"/>
      <w:r w:rsidRPr="009D2F46">
        <w:rPr>
          <w:rFonts w:hint="eastAsia"/>
          <w:b/>
        </w:rPr>
        <w:t>實證研究與政策建議</w:t>
      </w: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  <w:rPr>
          <w:rFonts w:hint="eastAsia"/>
        </w:rPr>
      </w:pPr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9D2F46" w:rsidRDefault="009D2F46" w:rsidP="009D2F46">
      <w:pPr>
        <w:jc w:val="both"/>
        <w:rPr>
          <w:rFonts w:hint="eastAsia"/>
        </w:rPr>
      </w:pPr>
      <w:r>
        <w:rPr>
          <w:rFonts w:hint="eastAsia"/>
        </w:rPr>
        <w:t>無權占有他人土地所生之相當於租金之不當得利，法院用「地價×年息＝租金」之公式計算返還價額，但實務上適用此公式時存有不少論理缺陷。本文隨機抽樣二○○四年到二○一二年九年間地方法院</w:t>
      </w:r>
      <w:r>
        <w:rPr>
          <w:rFonts w:hint="eastAsia"/>
        </w:rPr>
        <w:t>698</w:t>
      </w:r>
      <w:r>
        <w:rPr>
          <w:rFonts w:hint="eastAsia"/>
        </w:rPr>
        <w:t>筆判決，發現法院算出之不當</w:t>
      </w:r>
      <w:proofErr w:type="gramStart"/>
      <w:r>
        <w:rPr>
          <w:rFonts w:hint="eastAsia"/>
        </w:rPr>
        <w:t>得利返還價</w:t>
      </w:r>
      <w:proofErr w:type="gramEnd"/>
      <w:r>
        <w:rPr>
          <w:rFonts w:hint="eastAsia"/>
        </w:rPr>
        <w:t>額，大多遠低於市場租金。運用抽樣之判決，及內政部實價登錄資料庫之數據，本文質疑最高法院年息判斷公式的理論基礎，也指出地方法院決定年息時欠缺說理。無權占有他人土地所生之不當</w:t>
      </w:r>
      <w:proofErr w:type="gramStart"/>
      <w:r>
        <w:rPr>
          <w:rFonts w:hint="eastAsia"/>
        </w:rPr>
        <w:t>得利返還</w:t>
      </w:r>
      <w:proofErr w:type="gramEnd"/>
      <w:r>
        <w:rPr>
          <w:rFonts w:hint="eastAsia"/>
        </w:rPr>
        <w:t>責任，應該是「計算方法」相當於租金，而不是法律地位相當於租金；不當得利更不會是損害。爬梳土地法的立法背景，並進一步運用經濟分析方法，本文主張法院處理相當於租金之不當得利問題時，不應該類推適用民法第一二六條、土地法第九十七條、第一○五條、第一一○條。長遠之計，法官應該以實價登錄數據中之市場租金，與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歸模型，直接計算相當於市場租金之不當得利，並不受年息</w:t>
      </w:r>
      <w:r>
        <w:rPr>
          <w:rFonts w:hint="eastAsia"/>
        </w:rPr>
        <w:t>10%</w:t>
      </w:r>
      <w:r>
        <w:rPr>
          <w:rFonts w:hint="eastAsia"/>
        </w:rPr>
        <w:t>上限之限制。</w:t>
      </w: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  <w:rPr>
          <w:rFonts w:hint="eastAsia"/>
        </w:rPr>
      </w:pPr>
      <w:r>
        <w:rPr>
          <w:rFonts w:hint="eastAsia"/>
        </w:rPr>
        <w:t>關鍵詞：</w:t>
      </w:r>
      <w:r>
        <w:rPr>
          <w:rFonts w:hint="eastAsia"/>
        </w:rPr>
        <w:t xml:space="preserve"> </w:t>
      </w:r>
      <w:r>
        <w:rPr>
          <w:rFonts w:hint="eastAsia"/>
        </w:rPr>
        <w:t>年息、市場、租金管制、</w:t>
      </w:r>
      <w:proofErr w:type="gramStart"/>
      <w:r>
        <w:rPr>
          <w:rFonts w:hint="eastAsia"/>
        </w:rPr>
        <w:t>定錨效應</w:t>
      </w:r>
      <w:proofErr w:type="gramEnd"/>
      <w:r>
        <w:rPr>
          <w:rFonts w:hint="eastAsia"/>
        </w:rPr>
        <w:t>、消滅時效、相當於租金、無權</w:t>
      </w:r>
    </w:p>
    <w:p w:rsidR="009D2F46" w:rsidRDefault="009D2F46" w:rsidP="009D2F46">
      <w:pPr>
        <w:jc w:val="both"/>
      </w:pPr>
      <w:r>
        <w:rPr>
          <w:rFonts w:hint="eastAsia"/>
        </w:rPr>
        <w:t>占有、不當得利</w:t>
      </w: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  <w:rPr>
          <w:rFonts w:hint="eastAsia"/>
        </w:rPr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  <w:rPr>
          <w:rFonts w:hint="eastAsia"/>
        </w:rPr>
      </w:pPr>
    </w:p>
    <w:p w:rsidR="009D2F46" w:rsidRPr="009D2F46" w:rsidRDefault="009D2F46" w:rsidP="009D2F46">
      <w:pPr>
        <w:jc w:val="both"/>
        <w:rPr>
          <w:b/>
        </w:rPr>
      </w:pPr>
      <w:bookmarkStart w:id="0" w:name="_GoBack"/>
      <w:r w:rsidRPr="009D2F46">
        <w:rPr>
          <w:b/>
        </w:rPr>
        <w:lastRenderedPageBreak/>
        <w:t>Unlawful Possession of Land and</w:t>
      </w:r>
      <w:r w:rsidRPr="009D2F46">
        <w:rPr>
          <w:rFonts w:hint="eastAsia"/>
          <w:b/>
        </w:rPr>
        <w:t xml:space="preserve"> </w:t>
      </w:r>
      <w:r w:rsidRPr="009D2F46">
        <w:rPr>
          <w:b/>
        </w:rPr>
        <w:t>Unjust Enrichment Equivalent to</w:t>
      </w:r>
      <w:r w:rsidRPr="009D2F46">
        <w:rPr>
          <w:rFonts w:hint="eastAsia"/>
          <w:b/>
        </w:rPr>
        <w:t xml:space="preserve"> </w:t>
      </w:r>
      <w:r w:rsidRPr="009D2F46">
        <w:rPr>
          <w:b/>
        </w:rPr>
        <w:t>Rent</w:t>
      </w:r>
      <w:bookmarkEnd w:id="0"/>
      <w:r w:rsidRPr="009D2F46">
        <w:rPr>
          <w:b/>
        </w:rPr>
        <w:t>: Empirical Analysis and</w:t>
      </w:r>
      <w:r w:rsidRPr="009D2F46">
        <w:rPr>
          <w:rFonts w:hint="eastAsia"/>
          <w:b/>
        </w:rPr>
        <w:t xml:space="preserve"> </w:t>
      </w:r>
      <w:r w:rsidRPr="009D2F46">
        <w:rPr>
          <w:b/>
        </w:rPr>
        <w:t>Policy Suggestions</w:t>
      </w:r>
    </w:p>
    <w:p w:rsidR="009D2F46" w:rsidRDefault="009D2F46" w:rsidP="009D2F46">
      <w:pPr>
        <w:jc w:val="both"/>
      </w:pPr>
    </w:p>
    <w:p w:rsidR="009D2F46" w:rsidRDefault="009D2F46" w:rsidP="009D2F46">
      <w:pPr>
        <w:jc w:val="both"/>
      </w:pPr>
      <w:r>
        <w:t>Abstract</w:t>
      </w:r>
    </w:p>
    <w:p w:rsidR="009D2F46" w:rsidRDefault="009D2F46" w:rsidP="009D2F46">
      <w:pPr>
        <w:jc w:val="both"/>
      </w:pPr>
      <w:r>
        <w:t>Unlawful possessors of others’ land have to disgorge unjust enrichment</w:t>
      </w:r>
      <w:r>
        <w:rPr>
          <w:rFonts w:hint="eastAsia"/>
        </w:rPr>
        <w:t xml:space="preserve"> </w:t>
      </w:r>
      <w:r>
        <w:t>equivalent to rent. Taiwanese courts use the formula “land</w:t>
      </w:r>
      <w:r>
        <w:rPr>
          <w:rFonts w:hint="eastAsia"/>
        </w:rPr>
        <w:t xml:space="preserve"> </w:t>
      </w:r>
      <w:r>
        <w:t>value × yield rate = rent” to calculate the amount of compensation.</w:t>
      </w:r>
      <w:r>
        <w:rPr>
          <w:rFonts w:hint="eastAsia"/>
        </w:rPr>
        <w:t xml:space="preserve"> </w:t>
      </w:r>
      <w:r>
        <w:t>Judges, however, never offer any solid reasoning on their determinations</w:t>
      </w:r>
      <w:r>
        <w:rPr>
          <w:rFonts w:hint="eastAsia"/>
        </w:rPr>
        <w:t xml:space="preserve"> </w:t>
      </w:r>
      <w:r>
        <w:t>of yield rates. Using 698 randomly sampled district court cases</w:t>
      </w:r>
      <w:r>
        <w:rPr>
          <w:rFonts w:hint="eastAsia"/>
        </w:rPr>
        <w:t xml:space="preserve"> </w:t>
      </w:r>
      <w:r>
        <w:t>between 2004 and 2012, we find that most court-adjudicated rents are</w:t>
      </w:r>
      <w:r>
        <w:rPr>
          <w:rFonts w:hint="eastAsia"/>
        </w:rPr>
        <w:t xml:space="preserve"> </w:t>
      </w:r>
      <w:r>
        <w:t>below market rents. Using this new data set and the transaction price</w:t>
      </w:r>
      <w:r>
        <w:rPr>
          <w:rFonts w:hint="eastAsia"/>
        </w:rPr>
        <w:t xml:space="preserve"> </w:t>
      </w:r>
      <w:r>
        <w:t>and lease rent database compiled by the government, we challenge the</w:t>
      </w:r>
      <w:r>
        <w:rPr>
          <w:rFonts w:hint="eastAsia"/>
        </w:rPr>
        <w:t xml:space="preserve"> </w:t>
      </w:r>
      <w:r>
        <w:t>empirical foundation of several Supreme Court precedents, which dictate certain variables in determining the yield</w:t>
      </w:r>
      <w:r>
        <w:rPr>
          <w:rFonts w:hint="eastAsia"/>
        </w:rPr>
        <w:t xml:space="preserve"> </w:t>
      </w:r>
      <w:r>
        <w:t>rate. We argue that the</w:t>
      </w:r>
      <w:r>
        <w:rPr>
          <w:rFonts w:hint="eastAsia"/>
        </w:rPr>
        <w:t xml:space="preserve"> </w:t>
      </w:r>
      <w:r>
        <w:t>statute of limitations for the claim of unjust enrichment should be 15</w:t>
      </w:r>
      <w:r>
        <w:rPr>
          <w:rFonts w:hint="eastAsia"/>
        </w:rPr>
        <w:t xml:space="preserve"> </w:t>
      </w:r>
      <w:r>
        <w:t>years and the rent control stipulations are not directly applicable to unjust</w:t>
      </w:r>
      <w:r>
        <w:rPr>
          <w:rFonts w:hint="eastAsia"/>
        </w:rPr>
        <w:t xml:space="preserve"> </w:t>
      </w:r>
      <w:r>
        <w:t>enrichment, either. Our policy suggestion is that courts should use</w:t>
      </w:r>
      <w:r>
        <w:rPr>
          <w:rFonts w:hint="eastAsia"/>
        </w:rPr>
        <w:t xml:space="preserve"> </w:t>
      </w:r>
      <w:r>
        <w:t>the official lease rent database to compute the amount of unjust enrichment.</w:t>
      </w:r>
    </w:p>
    <w:p w:rsidR="009D2F46" w:rsidRDefault="009D2F46" w:rsidP="009D2F46">
      <w:pPr>
        <w:jc w:val="both"/>
      </w:pPr>
    </w:p>
    <w:p w:rsidR="00DE3F0A" w:rsidRPr="009D2F46" w:rsidRDefault="009D2F46" w:rsidP="009D2F46">
      <w:pPr>
        <w:jc w:val="both"/>
        <w:rPr>
          <w:rFonts w:hint="eastAsia"/>
        </w:rPr>
      </w:pPr>
      <w:r>
        <w:t>Keywords: Annual Yield Rate, Market, Rent Control, Anchoring Effect,</w:t>
      </w:r>
      <w:r>
        <w:rPr>
          <w:rFonts w:hint="eastAsia"/>
        </w:rPr>
        <w:t xml:space="preserve"> </w:t>
      </w:r>
      <w:r>
        <w:t>Statute of Limitation, Equivalent to Rent, Illicit Possession, Unjust</w:t>
      </w:r>
      <w:r>
        <w:rPr>
          <w:rFonts w:hint="eastAsia"/>
        </w:rPr>
        <w:t xml:space="preserve"> </w:t>
      </w:r>
      <w:r>
        <w:t>Enrichment</w:t>
      </w:r>
    </w:p>
    <w:sectPr w:rsidR="00DE3F0A" w:rsidRPr="009D2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46"/>
    <w:rsid w:val="009D2F46"/>
    <w:rsid w:val="00D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3575"/>
  <w15:chartTrackingRefBased/>
  <w15:docId w15:val="{CF88FE17-5135-41C2-9E87-3FC46D4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2022-11-03T06:19:00Z</dcterms:created>
  <dcterms:modified xsi:type="dcterms:W3CDTF">2022-11-03T06:20:00Z</dcterms:modified>
</cp:coreProperties>
</file>